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C1B46" w14:textId="77777777" w:rsidR="002B5B0A" w:rsidRPr="00A96745" w:rsidRDefault="00EC541B" w:rsidP="00EC541B">
      <w:pPr>
        <w:spacing w:after="240"/>
        <w:ind w:left="-993"/>
      </w:pPr>
      <w:r>
        <w:rPr>
          <w:noProof/>
          <w:lang w:val="pl"/>
        </w:rPr>
        <w:drawing>
          <wp:inline distT="0" distB="0" distL="0" distR="0" wp14:anchorId="66EB957B" wp14:editId="76D26EC4">
            <wp:extent cx="2663825" cy="10852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38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24B2" w14:textId="0A2FFDA4" w:rsidR="002B5B0A" w:rsidRPr="00A065B9" w:rsidRDefault="00EC541B" w:rsidP="00A96745">
      <w:pPr>
        <w:spacing w:after="240"/>
        <w:outlineLvl w:val="0"/>
        <w:rPr>
          <w:sz w:val="28"/>
          <w:szCs w:val="28"/>
          <w:lang w:val="pl-PL"/>
        </w:rPr>
      </w:pPr>
      <w:bookmarkStart w:id="0" w:name="bookmark0"/>
      <w:r>
        <w:rPr>
          <w:b/>
          <w:bCs/>
          <w:sz w:val="28"/>
          <w:szCs w:val="28"/>
          <w:lang w:val="pl"/>
        </w:rPr>
        <w:t xml:space="preserve">Rolnicy osiągają niższy poziom emisji </w:t>
      </w:r>
      <w:r w:rsidR="002F74B5">
        <w:rPr>
          <w:b/>
          <w:bCs/>
          <w:sz w:val="28"/>
          <w:szCs w:val="28"/>
          <w:lang w:val="pl"/>
        </w:rPr>
        <w:t>gazów cieplarnianych</w:t>
      </w:r>
      <w:r>
        <w:rPr>
          <w:b/>
          <w:bCs/>
          <w:sz w:val="28"/>
          <w:szCs w:val="28"/>
          <w:lang w:val="pl"/>
        </w:rPr>
        <w:t xml:space="preserve"> dzięki nowej współpracy w zakresie rolnictwa regeneratywnego w Europie</w:t>
      </w:r>
      <w:bookmarkEnd w:id="0"/>
    </w:p>
    <w:p w14:paraId="16BF9975" w14:textId="77777777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CHICAGO, 13 czerwca 2024 – ADM (NYSE: ADM) i Bayer ogłosiły dziś rozszerzenie współpracy przewidującej wspólne działanie z rolnikami w celu dalszego rozwoju stosowania regeneratywnych praktyk rolniczych w Europie.</w:t>
      </w:r>
    </w:p>
    <w:p w14:paraId="4F6EDA58" w14:textId="611F00D3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W zeszłym roku firmy</w:t>
      </w:r>
      <w:r w:rsidR="00A37388">
        <w:rPr>
          <w:lang w:val="pl"/>
        </w:rPr>
        <w:t xml:space="preserve"> </w:t>
      </w:r>
      <w:r w:rsidR="00FF0C98">
        <w:rPr>
          <w:lang w:val="pl"/>
        </w:rPr>
        <w:t>przeprowadzi</w:t>
      </w:r>
      <w:r w:rsidR="00A37388">
        <w:rPr>
          <w:lang w:val="pl"/>
        </w:rPr>
        <w:t xml:space="preserve">ły </w:t>
      </w:r>
      <w:r>
        <w:rPr>
          <w:lang w:val="pl"/>
        </w:rPr>
        <w:t xml:space="preserve">badanie wykonalności, by ocenić wpływ praktyk rolnictwa regeneratywnego na ograniczanie emisji </w:t>
      </w:r>
      <w:r w:rsidR="00A37388">
        <w:rPr>
          <w:lang w:val="pl"/>
        </w:rPr>
        <w:t>gazów cieplarnianych</w:t>
      </w:r>
      <w:r>
        <w:rPr>
          <w:lang w:val="pl"/>
        </w:rPr>
        <w:t>, zwiększanie bioróżnorodności oraz poprawę zdrowia gleby. Do bada</w:t>
      </w:r>
      <w:r w:rsidR="003C0405">
        <w:rPr>
          <w:lang w:val="pl"/>
        </w:rPr>
        <w:t xml:space="preserve">nia </w:t>
      </w:r>
      <w:r>
        <w:rPr>
          <w:lang w:val="pl"/>
        </w:rPr>
        <w:t xml:space="preserve">zaangażowano rolników uprawiających rzepak </w:t>
      </w:r>
      <w:r w:rsidR="00FF0C98">
        <w:rPr>
          <w:lang w:val="pl"/>
        </w:rPr>
        <w:t xml:space="preserve">ozimy </w:t>
      </w:r>
      <w:r>
        <w:rPr>
          <w:lang w:val="pl"/>
        </w:rPr>
        <w:t xml:space="preserve">na powierzchni około </w:t>
      </w:r>
      <w:r w:rsidR="00FF0C98">
        <w:rPr>
          <w:lang w:val="pl"/>
        </w:rPr>
        <w:t xml:space="preserve">9 tys. </w:t>
      </w:r>
      <w:r>
        <w:rPr>
          <w:lang w:val="pl"/>
        </w:rPr>
        <w:t>hektarów w Polsce</w:t>
      </w:r>
      <w:r w:rsidR="005550F4">
        <w:rPr>
          <w:lang w:val="pl"/>
        </w:rPr>
        <w:t>.</w:t>
      </w:r>
      <w:r>
        <w:rPr>
          <w:lang w:val="pl"/>
        </w:rPr>
        <w:t xml:space="preserve"> </w:t>
      </w:r>
      <w:r w:rsidR="005550F4">
        <w:rPr>
          <w:lang w:val="pl"/>
        </w:rPr>
        <w:t>P</w:t>
      </w:r>
      <w:r>
        <w:rPr>
          <w:lang w:val="pl"/>
        </w:rPr>
        <w:t>ozwolił</w:t>
      </w:r>
      <w:r w:rsidR="005550F4">
        <w:rPr>
          <w:lang w:val="pl"/>
        </w:rPr>
        <w:t>o to</w:t>
      </w:r>
      <w:r>
        <w:rPr>
          <w:lang w:val="pl"/>
        </w:rPr>
        <w:t xml:space="preserve"> na ocenę potencjału ograniczenia emisji dwutlenku węgla przy jednoczesnym </w:t>
      </w:r>
      <w:r w:rsidR="003C0405">
        <w:rPr>
          <w:lang w:val="pl"/>
        </w:rPr>
        <w:t>s</w:t>
      </w:r>
      <w:r>
        <w:rPr>
          <w:lang w:val="pl"/>
        </w:rPr>
        <w:t xml:space="preserve">tworzeniu </w:t>
      </w:r>
      <w:r w:rsidR="003C0405">
        <w:rPr>
          <w:lang w:val="pl"/>
        </w:rPr>
        <w:t>dopasowanego</w:t>
      </w:r>
      <w:r>
        <w:rPr>
          <w:lang w:val="pl"/>
        </w:rPr>
        <w:t xml:space="preserve"> dla danego rolnika planu działania w zakresie przejścia na rolnictwo regeneratywne. Wstępne oceny wykazały, że emisje z hektarów</w:t>
      </w:r>
      <w:r w:rsidR="0018705C">
        <w:rPr>
          <w:lang w:val="pl"/>
        </w:rPr>
        <w:t>, na których zastosowano</w:t>
      </w:r>
      <w:r>
        <w:rPr>
          <w:lang w:val="pl"/>
        </w:rPr>
        <w:t xml:space="preserve"> co najmniej jedn</w:t>
      </w:r>
      <w:r w:rsidR="00102367">
        <w:rPr>
          <w:lang w:val="pl"/>
        </w:rPr>
        <w:t>ą</w:t>
      </w:r>
      <w:r>
        <w:rPr>
          <w:lang w:val="pl"/>
        </w:rPr>
        <w:t xml:space="preserve"> </w:t>
      </w:r>
      <w:r w:rsidR="0018705C">
        <w:rPr>
          <w:lang w:val="pl"/>
        </w:rPr>
        <w:t>regeneratywną praktyk</w:t>
      </w:r>
      <w:r w:rsidR="00F31B22">
        <w:rPr>
          <w:lang w:val="pl"/>
        </w:rPr>
        <w:t>ę</w:t>
      </w:r>
      <w:r w:rsidR="0018705C">
        <w:rPr>
          <w:lang w:val="pl"/>
        </w:rPr>
        <w:t xml:space="preserve"> rolniczą</w:t>
      </w:r>
      <w:r>
        <w:rPr>
          <w:lang w:val="pl"/>
        </w:rPr>
        <w:t xml:space="preserve"> były o 15% niższe niż w przypadku upraw</w:t>
      </w:r>
      <w:r w:rsidR="0018705C">
        <w:rPr>
          <w:lang w:val="pl"/>
        </w:rPr>
        <w:t>y</w:t>
      </w:r>
      <w:r>
        <w:rPr>
          <w:lang w:val="pl"/>
        </w:rPr>
        <w:t xml:space="preserve"> </w:t>
      </w:r>
      <w:r w:rsidR="0018705C">
        <w:rPr>
          <w:lang w:val="pl"/>
        </w:rPr>
        <w:t>konwencjonalnej</w:t>
      </w:r>
      <w:r>
        <w:rPr>
          <w:lang w:val="pl"/>
        </w:rPr>
        <w:t xml:space="preserve">. Analiza wskazuje, że poziom ograniczenia emisji może sięgać nawet 40% w przypadku rolników kompleksowo stosujących </w:t>
      </w:r>
      <w:r w:rsidR="00102367">
        <w:rPr>
          <w:lang w:val="pl"/>
        </w:rPr>
        <w:t>reg</w:t>
      </w:r>
      <w:r w:rsidR="00CC13A0">
        <w:rPr>
          <w:lang w:val="pl"/>
        </w:rPr>
        <w:t>eneratywne praktyki.</w:t>
      </w:r>
    </w:p>
    <w:p w14:paraId="44E1EA8B" w14:textId="7D6F7EC8" w:rsidR="00A96745" w:rsidRPr="00A065B9" w:rsidRDefault="00EC541B">
      <w:pPr>
        <w:tabs>
          <w:tab w:val="left" w:pos="674"/>
        </w:tabs>
        <w:rPr>
          <w:lang w:val="pl-PL"/>
        </w:rPr>
      </w:pPr>
      <w:r>
        <w:rPr>
          <w:lang w:val="pl"/>
        </w:rPr>
        <w:t>W ramach kolejnego etapu współpracy program zostanie rozszerzony na większy zakres roślin uprawnych, takich jak kukurydza, pszenica i jęczmień oraz, pod względem geograficznym, na obszar Europy Wschodniej. Rolnicy uzyskają wsparcie finansowe i techniczne przy wdrażaniu regeneratywnych</w:t>
      </w:r>
      <w:r w:rsidR="00A2130A">
        <w:rPr>
          <w:lang w:val="pl"/>
        </w:rPr>
        <w:t xml:space="preserve"> praktyk rolniczych</w:t>
      </w:r>
      <w:r>
        <w:rPr>
          <w:lang w:val="pl"/>
        </w:rPr>
        <w:t>, takich jak:</w:t>
      </w:r>
    </w:p>
    <w:p w14:paraId="6ABB4EB0" w14:textId="395FC095" w:rsidR="002B5B0A" w:rsidRDefault="004F547D" w:rsidP="00A96745">
      <w:pPr>
        <w:pStyle w:val="Akapitzlist"/>
        <w:numPr>
          <w:ilvl w:val="0"/>
          <w:numId w:val="4"/>
        </w:numPr>
        <w:ind w:left="426" w:hanging="426"/>
      </w:pPr>
      <w:r>
        <w:rPr>
          <w:lang w:val="pl"/>
        </w:rPr>
        <w:t>Ograniczenie orki</w:t>
      </w:r>
    </w:p>
    <w:p w14:paraId="2EC6A548" w14:textId="5800807D" w:rsidR="002B5B0A" w:rsidRDefault="00EC541B" w:rsidP="00A96745">
      <w:pPr>
        <w:pStyle w:val="Akapitzlist"/>
        <w:numPr>
          <w:ilvl w:val="0"/>
          <w:numId w:val="1"/>
        </w:numPr>
        <w:spacing w:after="240"/>
        <w:ind w:left="426" w:hanging="426"/>
      </w:pPr>
      <w:r>
        <w:rPr>
          <w:lang w:val="pl"/>
        </w:rPr>
        <w:t>Uprawy okrywowe</w:t>
      </w:r>
    </w:p>
    <w:p w14:paraId="15BF91DA" w14:textId="296BECC5" w:rsidR="002B5B0A" w:rsidRDefault="004F547D" w:rsidP="00A96745">
      <w:pPr>
        <w:pStyle w:val="Akapitzlist"/>
        <w:numPr>
          <w:ilvl w:val="0"/>
          <w:numId w:val="1"/>
        </w:numPr>
        <w:spacing w:after="240"/>
        <w:ind w:left="426" w:hanging="426"/>
      </w:pPr>
      <w:r>
        <w:rPr>
          <w:lang w:val="pl"/>
        </w:rPr>
        <w:t>Wsiewki</w:t>
      </w:r>
    </w:p>
    <w:p w14:paraId="714B11BD" w14:textId="2C6716D6" w:rsidR="002B5B0A" w:rsidRDefault="00064EF9" w:rsidP="00A96745">
      <w:pPr>
        <w:pStyle w:val="Akapitzlist"/>
        <w:numPr>
          <w:ilvl w:val="0"/>
          <w:numId w:val="1"/>
        </w:numPr>
        <w:spacing w:after="240"/>
        <w:ind w:left="426" w:hanging="426"/>
      </w:pPr>
      <w:r>
        <w:rPr>
          <w:lang w:val="pl"/>
        </w:rPr>
        <w:t>Zarządzanie składnikami</w:t>
      </w:r>
      <w:r w:rsidR="00EC541B">
        <w:rPr>
          <w:lang w:val="pl"/>
        </w:rPr>
        <w:t xml:space="preserve"> odżywczymi</w:t>
      </w:r>
    </w:p>
    <w:p w14:paraId="67F46CAE" w14:textId="09E3DE58" w:rsidR="002B5B0A" w:rsidRDefault="00EC541B" w:rsidP="00A96745">
      <w:pPr>
        <w:pStyle w:val="Akapitzlist"/>
        <w:numPr>
          <w:ilvl w:val="0"/>
          <w:numId w:val="1"/>
        </w:numPr>
        <w:spacing w:after="240"/>
        <w:ind w:left="426" w:hanging="426"/>
      </w:pPr>
      <w:r>
        <w:rPr>
          <w:lang w:val="pl"/>
        </w:rPr>
        <w:t>Wykorzyst</w:t>
      </w:r>
      <w:r w:rsidR="00BA08F7">
        <w:rPr>
          <w:lang w:val="pl"/>
        </w:rPr>
        <w:t>anie</w:t>
      </w:r>
      <w:r>
        <w:rPr>
          <w:lang w:val="pl"/>
        </w:rPr>
        <w:t xml:space="preserve"> materii organicznej / obornika</w:t>
      </w:r>
    </w:p>
    <w:p w14:paraId="26FA3424" w14:textId="06B0065F" w:rsidR="002B5B0A" w:rsidRDefault="00EC541B" w:rsidP="00A96745">
      <w:pPr>
        <w:pStyle w:val="Akapitzlist"/>
        <w:numPr>
          <w:ilvl w:val="0"/>
          <w:numId w:val="1"/>
        </w:numPr>
        <w:spacing w:after="240"/>
        <w:ind w:left="426" w:hanging="426"/>
      </w:pPr>
      <w:r>
        <w:rPr>
          <w:lang w:val="pl"/>
        </w:rPr>
        <w:t>Płodozmian</w:t>
      </w:r>
      <w:r w:rsidR="004165CF">
        <w:rPr>
          <w:lang w:val="pl"/>
        </w:rPr>
        <w:t>.</w:t>
      </w:r>
    </w:p>
    <w:p w14:paraId="67AF1641" w14:textId="05D59E34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ADM przyzna wynagrodzenie finansowe rolnikom uczestniczącym w programie za każdy kwalifikowalny hektar upraw zmierzony i zweryfikowany za pomocą technologii cyfrowej Bayer we współpracy z platformą Sandy od Trinity Agtech. Platforma Sandy to uznane i potwierdzone naukowo rozwiązanie odpowiadające najwyższym standardom dostępn</w:t>
      </w:r>
      <w:r w:rsidR="00F54B30">
        <w:rPr>
          <w:lang w:val="pl"/>
        </w:rPr>
        <w:t>y</w:t>
      </w:r>
      <w:r w:rsidR="00730FBC">
        <w:rPr>
          <w:lang w:val="pl"/>
        </w:rPr>
        <w:t>m</w:t>
      </w:r>
      <w:r>
        <w:rPr>
          <w:lang w:val="pl"/>
        </w:rPr>
        <w:t xml:space="preserve"> na rynku oraz posiadające łatwe w użyciu narzędzie dla rolników.</w:t>
      </w:r>
    </w:p>
    <w:p w14:paraId="42F598E6" w14:textId="00A39014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 xml:space="preserve">Poza wsparciem finansowym rolnicy uczestniczący w programie uzyskają </w:t>
      </w:r>
      <w:r w:rsidR="00F049C2">
        <w:rPr>
          <w:lang w:val="pl"/>
        </w:rPr>
        <w:t xml:space="preserve">wsparcie </w:t>
      </w:r>
      <w:r>
        <w:rPr>
          <w:lang w:val="pl"/>
        </w:rPr>
        <w:t>agronomiczne od wyspecjalizowanych ekspertów. Wsparcie rozpocznie się od</w:t>
      </w:r>
      <w:r w:rsidR="00F049C2">
        <w:rPr>
          <w:lang w:val="pl"/>
        </w:rPr>
        <w:t xml:space="preserve"> </w:t>
      </w:r>
      <w:r>
        <w:rPr>
          <w:lang w:val="pl"/>
        </w:rPr>
        <w:t xml:space="preserve"> głębokiego agronomicznego zrozumienia problemów typowych dla każdego regionu, w którym prowadzony jest program</w:t>
      </w:r>
      <w:r w:rsidR="00604B9A">
        <w:rPr>
          <w:lang w:val="pl"/>
        </w:rPr>
        <w:t>. N</w:t>
      </w:r>
      <w:r>
        <w:rPr>
          <w:lang w:val="pl"/>
        </w:rPr>
        <w:t xml:space="preserve">astępnie zostanie przeprowadzona indywidualna ocena uprawy, w czasie której agronomowie odwiedzą </w:t>
      </w:r>
      <w:r w:rsidR="00604B9A">
        <w:rPr>
          <w:lang w:val="pl"/>
        </w:rPr>
        <w:t>gospodarstwa</w:t>
      </w:r>
      <w:r>
        <w:rPr>
          <w:lang w:val="pl"/>
        </w:rPr>
        <w:t xml:space="preserve"> i wraz z rolnikami opracują plany rozwoju odpowiednie dla każdej uprawy. Rolnicy będą mogli dzielić się ze sobą swoimi doświadczeniami oraz omawiać różne </w:t>
      </w:r>
      <w:r w:rsidR="00552BCB">
        <w:rPr>
          <w:lang w:val="pl"/>
        </w:rPr>
        <w:t xml:space="preserve">praktyk </w:t>
      </w:r>
      <w:r>
        <w:rPr>
          <w:lang w:val="pl"/>
        </w:rPr>
        <w:t>podczas wizyt na polach oraz podczas spotkań umożliwiających partnerskie uczenie się.</w:t>
      </w:r>
    </w:p>
    <w:p w14:paraId="380E3032" w14:textId="798B5DDB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 xml:space="preserve">Program oceny wykonalności z 2023 roku stanowił kluczowy element kształtowania prac na większą skalę. Wysłuchanie opinii rolników było bardzo ważne dla ujęcia wszystkich czynników typowych dla </w:t>
      </w:r>
      <w:r>
        <w:rPr>
          <w:lang w:val="pl"/>
        </w:rPr>
        <w:lastRenderedPageBreak/>
        <w:t>danego regionu. Wstępne gromadzenie danych do obliczeń emisji gazów cieplarnianych oraz analizy gleby wraz z pomiarem sekwestracji dwutlenku węgla umożliwiły rolnikom, ADM i Bayer uzyskanie cennych informacji na temat aktualnego wpływu na środowisko oraz potencjalnych możliwości ograniczeń emisji wraz z rozwojem programu.</w:t>
      </w:r>
    </w:p>
    <w:p w14:paraId="135BB161" w14:textId="4B83068C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„</w:t>
      </w:r>
      <w:r w:rsidR="00813E95" w:rsidRPr="00813E95">
        <w:rPr>
          <w:lang w:val="pl"/>
        </w:rPr>
        <w:t xml:space="preserve">U nas od 15 lat </w:t>
      </w:r>
      <w:r w:rsidR="00813E95">
        <w:rPr>
          <w:lang w:val="pl"/>
        </w:rPr>
        <w:t xml:space="preserve">stosujemy </w:t>
      </w:r>
      <w:r w:rsidR="00813E95" w:rsidRPr="00813E95">
        <w:rPr>
          <w:lang w:val="pl"/>
        </w:rPr>
        <w:t xml:space="preserve">praktyki rolnictwa regeneratywnego. Cały czas coś ulepszamy. Testujemy najpierw na mniejszej powierzchni i na podstawie rezultatów decydujemy o wdrożeniu na większym areale. Dzięki tym działaniom nasz ślad węglowy jest </w:t>
      </w:r>
      <w:r w:rsidR="008C5A33">
        <w:rPr>
          <w:lang w:val="pl"/>
        </w:rPr>
        <w:t>niższy</w:t>
      </w:r>
      <w:r>
        <w:rPr>
          <w:lang w:val="pl"/>
        </w:rPr>
        <w:t xml:space="preserve">” – mówi Karol </w:t>
      </w:r>
      <w:proofErr w:type="spellStart"/>
      <w:r>
        <w:rPr>
          <w:lang w:val="pl"/>
        </w:rPr>
        <w:t>Pietnoczka</w:t>
      </w:r>
      <w:proofErr w:type="spellEnd"/>
      <w:r>
        <w:rPr>
          <w:lang w:val="pl"/>
        </w:rPr>
        <w:t>, rolnik</w:t>
      </w:r>
      <w:r w:rsidR="00813E95">
        <w:rPr>
          <w:lang w:val="pl"/>
        </w:rPr>
        <w:t xml:space="preserve"> z woj. zachodniopomorskiego</w:t>
      </w:r>
      <w:r>
        <w:rPr>
          <w:lang w:val="pl"/>
        </w:rPr>
        <w:t>.</w:t>
      </w:r>
    </w:p>
    <w:p w14:paraId="3FB08718" w14:textId="7CC9CC97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„</w:t>
      </w:r>
      <w:r w:rsidR="009878E9" w:rsidRPr="009878E9">
        <w:rPr>
          <w:lang w:val="pl"/>
        </w:rPr>
        <w:t xml:space="preserve">Prowadzimy w gospodarstwie praktyki rolnictwa regeneratywnego, bo nam się to opłaca. Muszą być one jednak dobrze zrównoważone z innymi praktykami </w:t>
      </w:r>
      <w:r w:rsidR="009878E9">
        <w:rPr>
          <w:lang w:val="pl"/>
        </w:rPr>
        <w:t>rolniczymi</w:t>
      </w:r>
      <w:r w:rsidR="009878E9" w:rsidRPr="009878E9">
        <w:rPr>
          <w:lang w:val="pl"/>
        </w:rPr>
        <w:t>, by w skali całego gospodarstwa osiągnąć sukces</w:t>
      </w:r>
      <w:r>
        <w:rPr>
          <w:lang w:val="pl"/>
        </w:rPr>
        <w:t xml:space="preserve">” – </w:t>
      </w:r>
      <w:r w:rsidR="008C5A33">
        <w:rPr>
          <w:lang w:val="pl"/>
        </w:rPr>
        <w:t>twierdzi</w:t>
      </w:r>
      <w:r>
        <w:rPr>
          <w:lang w:val="pl"/>
        </w:rPr>
        <w:t xml:space="preserve"> Piotr Hulanicki, rolnik z województwa warmińsko-mazurskiego.</w:t>
      </w:r>
    </w:p>
    <w:p w14:paraId="723B67AD" w14:textId="6AAEBD4C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Candy Siekman</w:t>
      </w:r>
      <w:r w:rsidR="00E72E34">
        <w:rPr>
          <w:lang w:val="pl"/>
        </w:rPr>
        <w:t>n</w:t>
      </w:r>
      <w:r>
        <w:rPr>
          <w:lang w:val="pl"/>
        </w:rPr>
        <w:t xml:space="preserve">, dyrektor działu Climate Smart Agriculture Origination w ADM, mówi: „Rolnictwo regeneratywne jest niezbędne dla osiągnięcia przez nas czołowej pozycji na polu zrównoważonego rozwoju i dekarbonizacji, a wprowadzanie programu rolnictwa regeneratywnego w Polsce to kolejny ekscytujący etap w naszych wysiłkach. </w:t>
      </w:r>
      <w:hyperlink r:id="rId8" w:history="1">
        <w:r>
          <w:rPr>
            <w:rStyle w:val="Hipercze"/>
            <w:lang w:val="pl"/>
          </w:rPr>
          <w:t>Nasze wewnętrzne badania</w:t>
        </w:r>
      </w:hyperlink>
      <w:r>
        <w:rPr>
          <w:lang w:val="pl"/>
        </w:rPr>
        <w:t xml:space="preserve"> pokazują, że większość konsumentów chętniej obdarzyłaby zaufaniem i została klientami sprzedawców i marek, które stosują praktyki rolnictwa regeneratywnego, a działając wspólnie ze </w:t>
      </w:r>
      <w:r w:rsidR="00F757F4">
        <w:rPr>
          <w:lang w:val="pl"/>
        </w:rPr>
        <w:t xml:space="preserve">świetnymi </w:t>
      </w:r>
      <w:r>
        <w:rPr>
          <w:lang w:val="pl"/>
        </w:rPr>
        <w:t>partnerami, takimi jak Bayer, pomagamy spełniać te wymogi rolnikom, którzy przecież są najważniejsi dla naszego biznesu. Nie możemy się doczekać współpracy z firmą Bayer przy promowaniu ekonomicznie atrakcyjnego modelu, który przewiduje wspólną pracę firm i rolników nad tworzeniem bardziej elastycznego i zrównoważonego łańcucha dostaw o mniejszym śladzie węglowym”.</w:t>
      </w:r>
    </w:p>
    <w:p w14:paraId="6C054E62" w14:textId="4D509181" w:rsidR="002B5B0A" w:rsidRPr="00A065B9" w:rsidRDefault="00EC541B" w:rsidP="00A96745">
      <w:pPr>
        <w:pStyle w:val="Normal"/>
        <w:rPr>
          <w:lang w:val="pl-PL"/>
        </w:rPr>
      </w:pPr>
      <w:proofErr w:type="spellStart"/>
      <w:r>
        <w:rPr>
          <w:lang w:val="pl"/>
        </w:rPr>
        <w:t>Lionnel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Alexandre</w:t>
      </w:r>
      <w:proofErr w:type="spellEnd"/>
      <w:r>
        <w:rPr>
          <w:lang w:val="pl"/>
        </w:rPr>
        <w:t xml:space="preserve">, </w:t>
      </w:r>
      <w:r w:rsidR="00DA2333">
        <w:rPr>
          <w:lang w:val="pl"/>
        </w:rPr>
        <w:t>dyrektor dział</w:t>
      </w:r>
      <w:r w:rsidR="006A092D">
        <w:rPr>
          <w:lang w:val="pl"/>
        </w:rPr>
        <w:t>u</w:t>
      </w:r>
      <w:r w:rsidR="00DA2333">
        <w:rPr>
          <w:lang w:val="pl"/>
        </w:rPr>
        <w:t xml:space="preserve"> redukcji emisji w Bayer w regionie</w:t>
      </w:r>
      <w:r>
        <w:rPr>
          <w:lang w:val="pl"/>
        </w:rPr>
        <w:t xml:space="preserve"> EMEA </w:t>
      </w:r>
      <w:r w:rsidR="00FA1B68">
        <w:rPr>
          <w:lang w:val="pl"/>
        </w:rPr>
        <w:t>podkreśla</w:t>
      </w:r>
      <w:r>
        <w:rPr>
          <w:lang w:val="pl"/>
        </w:rPr>
        <w:t>: „Współpraca w Europie z ADM w zakresie rolnictwa regeneratywnego ma dla nas duże znaczenie, ponieważ pokazuje, jak ważne jest budowanie silnego i zaangażowanego podejścia opartego na łańcuchu wartości, gdzie wszyscy zawodnicy grają do jednej bramki. Rozwiązanie firmy Bayer łączy zaawansowaną naukę cyfrową oraz zdolności agronomiczne, wykorzystując wiedzę najlepszych ekspertów i partnerów w całej Europie. Daje to naszym klientom, takim jak ADM, najlepsze zasoby umożliwiające wspieranie pierwszorzędnych projektów z obszaru rolnictwa regeneratywnego”.</w:t>
      </w:r>
    </w:p>
    <w:p w14:paraId="229CED3B" w14:textId="77777777" w:rsidR="002B5B0A" w:rsidRPr="00A065B9" w:rsidRDefault="00EC541B" w:rsidP="00A96745">
      <w:pPr>
        <w:pStyle w:val="Nagwek1"/>
        <w:rPr>
          <w:lang w:val="pl-PL"/>
        </w:rPr>
      </w:pPr>
      <w:r>
        <w:rPr>
          <w:lang w:val="pl"/>
        </w:rPr>
        <w:t>O ADM</w:t>
      </w:r>
    </w:p>
    <w:p w14:paraId="7945AC00" w14:textId="7B14A92E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 xml:space="preserve">ADM uwalnia siłę natury, by zwiększać jakość życia. Jesteśmy głównym menedżerem i przetwórcą globalnego rolniczego łańcucha dostaw zapewniającym bezpieczeństwo żywnościowe poprzez łączenie globalnych potrzeb z globalnymi możliwościami. Jesteśmy czołowym dostawcą żywności dla ludzi i zwierząt oraz oferujemy jedno z najbogatszych portfolio składników i roztworów prosto z natury. Jesteśmy pionierami w branży zdrowia i dobrego samopoczucia i oferujemy największy w tym przemyśle asortyment produktów dla klientów, którzy szukają nowych sposobów na zdrowsze życie. Jesteśmy innowatorem wskazującym drogę dla przyszłości nowych klientów i rozwiązań przemysłowych. Ponadto jesteśmy liderem w zakresie zrównoważonego rozwoju i skalujemy całe łańcuchy wartości, by umożliwiać dekarbonizację wielu przemysłów, które korzystają z naszych usług. Na całym świecie nasze innowacje i doświadczenie spełniają podstawowe wymogi, ulepszając przy tym jakość życia oraz dbając o zdrowszą planetę. Więcej informacji na stronie </w:t>
      </w:r>
      <w:hyperlink r:id="rId9" w:history="1">
        <w:r>
          <w:rPr>
            <w:rStyle w:val="Hipercze"/>
            <w:lang w:val="pl"/>
          </w:rPr>
          <w:t>www.adm.com.</w:t>
        </w:r>
      </w:hyperlink>
    </w:p>
    <w:p w14:paraId="00E4655A" w14:textId="77777777" w:rsidR="002B5B0A" w:rsidRPr="00A065B9" w:rsidRDefault="00EC541B" w:rsidP="00A96745">
      <w:pPr>
        <w:pStyle w:val="Nagwek1"/>
        <w:rPr>
          <w:lang w:val="pl-PL"/>
        </w:rPr>
      </w:pPr>
      <w:r>
        <w:rPr>
          <w:lang w:val="pl"/>
        </w:rPr>
        <w:t>O Bayer</w:t>
      </w:r>
    </w:p>
    <w:p w14:paraId="05DA0CCC" w14:textId="44900D63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Bayer to globalne przedsiębiorstwo o podstawowych kompetencjach na polu nauk o zdrowiu i żywieniu. Zgodnie z misją firmy „Health for all, Hunger for none”</w:t>
      </w:r>
      <w:r w:rsidR="007B7D0D">
        <w:rPr>
          <w:lang w:val="pl"/>
        </w:rPr>
        <w:t xml:space="preserve"> (Zdrowie dla </w:t>
      </w:r>
      <w:r w:rsidR="004245F0">
        <w:rPr>
          <w:lang w:val="pl"/>
        </w:rPr>
        <w:t>w</w:t>
      </w:r>
      <w:r w:rsidR="007B7D0D">
        <w:rPr>
          <w:lang w:val="pl"/>
        </w:rPr>
        <w:t xml:space="preserve">szystkich, </w:t>
      </w:r>
      <w:r w:rsidR="00323029">
        <w:rPr>
          <w:lang w:val="pl"/>
        </w:rPr>
        <w:t>świat bez głodu</w:t>
      </w:r>
      <w:r w:rsidR="007B7D0D">
        <w:rPr>
          <w:lang w:val="pl"/>
        </w:rPr>
        <w:t>)</w:t>
      </w:r>
      <w:r>
        <w:rPr>
          <w:lang w:val="pl"/>
        </w:rPr>
        <w:t xml:space="preserve">, jej produkty i usługi zostały stworzone po to, by pomagać ludziom i planecie rozwijać się poprzez wspieranie wysiłków mających na celu opanowanie głównych problemów związanych ze starzeniem się globalnej populacji. Bayer angażuje się w rozwijanie zrównoważonego rozwoju i </w:t>
      </w:r>
      <w:r>
        <w:rPr>
          <w:lang w:val="pl"/>
        </w:rPr>
        <w:lastRenderedPageBreak/>
        <w:t>generowanie pozytywnego wpływu poprzez swoje działania. Jednocześnie celem Grupy jest zwiększanie swojej zdolności zarobkowej oraz tworzenie wartości poprzez innowacje i rozwój. Marka Bayer to synonim zaufania, niezawodności oraz jakości na całym świecie. W roku obrotowym 2023 Grupa zatrudniała około 100 </w:t>
      </w:r>
      <w:r w:rsidR="00161703">
        <w:rPr>
          <w:lang w:val="pl"/>
        </w:rPr>
        <w:t xml:space="preserve">tys. </w:t>
      </w:r>
      <w:r>
        <w:rPr>
          <w:lang w:val="pl"/>
        </w:rPr>
        <w:t xml:space="preserve">osób, a jej sprzedaż osiągnęła wartość 47,6 miliarda euro. Koszty badań i rozwoju przed uwzględnieniem pozycji nadzwyczajnych osiągnęły 5,8 miliarda euro. Więcej informacji na stronie </w:t>
      </w:r>
      <w:hyperlink r:id="rId10" w:history="1">
        <w:r>
          <w:rPr>
            <w:rStyle w:val="Hipercze"/>
            <w:lang w:val="pl"/>
          </w:rPr>
          <w:t>www.bayer.com</w:t>
        </w:r>
      </w:hyperlink>
      <w:r>
        <w:rPr>
          <w:lang w:val="pl"/>
        </w:rPr>
        <w:t>.</w:t>
      </w:r>
    </w:p>
    <w:p w14:paraId="19299A05" w14:textId="77777777" w:rsidR="002B5B0A" w:rsidRPr="00A065B9" w:rsidRDefault="00EC541B" w:rsidP="00A96745">
      <w:pPr>
        <w:pStyle w:val="Nagwek1"/>
        <w:rPr>
          <w:lang w:val="pl-PL"/>
        </w:rPr>
      </w:pPr>
      <w:r>
        <w:rPr>
          <w:lang w:val="pl"/>
        </w:rPr>
        <w:t>ADM i rolnictwo regeneratywne</w:t>
      </w:r>
    </w:p>
    <w:p w14:paraId="6C067639" w14:textId="77777777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>ADM definiuje rolnictwo regeneratywne jako podejście rolnicze oparte na wynikach, które chroni i ulepsza zdrowie gleby, bioróżnorodność, zasoby klimatyczne i wodne przy jednoczesnym wsparciu rozwoju biznesu rolniczego. Globalne programy rolnictwa regeneratywnego ADM przewidują bezpośrednie wsparcie finansowe dla rolników, łatwe procesy oraz najnowocześniejsze technologie, by zapewnić niskie bariery wejścia, a także szeroki zakres pomocy i wytycznych ze strony wewnętrznych i zewnętrznych ekspertów. Kluczowym elementem podejścia ADM jest uznanie, że różne części świata mierzą się z różnymi problemami środowiskowymi, w związku z czym firma dopasowuje specyficzne kwalifikacje i praktyki, by dostosować się do specyficznych problemów środowiska w różnych regionach na całym świecie.</w:t>
      </w:r>
    </w:p>
    <w:p w14:paraId="4EF262B1" w14:textId="36EB5107" w:rsidR="002B5B0A" w:rsidRPr="00A065B9" w:rsidRDefault="00EC541B" w:rsidP="00A96745">
      <w:pPr>
        <w:pStyle w:val="Normal"/>
        <w:rPr>
          <w:lang w:val="pl-PL"/>
        </w:rPr>
      </w:pPr>
      <w:r>
        <w:rPr>
          <w:lang w:val="pl"/>
        </w:rPr>
        <w:t xml:space="preserve">ADM </w:t>
      </w:r>
      <w:hyperlink r:id="rId11" w:history="1">
        <w:r>
          <w:rPr>
            <w:rStyle w:val="Hipercze"/>
            <w:lang w:val="pl"/>
          </w:rPr>
          <w:t>ogłosiła niedawno</w:t>
        </w:r>
      </w:hyperlink>
      <w:r>
        <w:rPr>
          <w:lang w:val="pl"/>
        </w:rPr>
        <w:t>, że jej globalny program rolnictwa regeneratywnego objął ponad 2,8 miliona akrów w 2023 r. i że zwiększyła swój cel do 5 milionów akrów w 2025 roku.</w:t>
      </w:r>
    </w:p>
    <w:p w14:paraId="43C0EF0D" w14:textId="77777777" w:rsidR="002B5B0A" w:rsidRPr="00A065B9" w:rsidRDefault="00EC541B" w:rsidP="00A96745">
      <w:pPr>
        <w:pStyle w:val="Nagwek1"/>
        <w:rPr>
          <w:lang w:val="pl-PL"/>
        </w:rPr>
      </w:pPr>
      <w:r>
        <w:rPr>
          <w:lang w:val="pl"/>
        </w:rPr>
        <w:t>ADM</w:t>
      </w:r>
    </w:p>
    <w:p w14:paraId="71617553" w14:textId="77777777" w:rsidR="00A96745" w:rsidRPr="00A065B9" w:rsidRDefault="00EC541B">
      <w:pPr>
        <w:rPr>
          <w:lang w:val="pl-PL"/>
        </w:rPr>
      </w:pPr>
      <w:r>
        <w:rPr>
          <w:lang w:val="pl"/>
        </w:rPr>
        <w:t>Jackie Anderson</w:t>
      </w:r>
    </w:p>
    <w:p w14:paraId="05FFAB03" w14:textId="77777777" w:rsidR="00A96745" w:rsidRPr="00A065B9" w:rsidRDefault="00FA1B68">
      <w:pPr>
        <w:rPr>
          <w:lang w:val="pl-PL"/>
        </w:rPr>
      </w:pPr>
      <w:hyperlink r:id="rId12" w:history="1">
        <w:r w:rsidR="00A96745">
          <w:rPr>
            <w:rStyle w:val="Hipercze"/>
            <w:lang w:val="pl"/>
          </w:rPr>
          <w:t>media@adm.com</w:t>
        </w:r>
      </w:hyperlink>
    </w:p>
    <w:p w14:paraId="5B9F9BE4" w14:textId="355B2DFA" w:rsidR="002B5B0A" w:rsidRPr="00323029" w:rsidRDefault="00EC541B">
      <w:pPr>
        <w:rPr>
          <w:lang w:val="pl-PL"/>
        </w:rPr>
      </w:pPr>
      <w:r w:rsidRPr="00323029">
        <w:rPr>
          <w:lang w:val="pl-PL"/>
        </w:rPr>
        <w:t>312 634 8484</w:t>
      </w:r>
    </w:p>
    <w:p w14:paraId="152C4F53" w14:textId="77777777" w:rsidR="002B5B0A" w:rsidRDefault="00EC541B" w:rsidP="00A96745">
      <w:pPr>
        <w:pStyle w:val="Nagwek1"/>
      </w:pPr>
      <w:r w:rsidRPr="00A065B9">
        <w:t>Bayer</w:t>
      </w:r>
    </w:p>
    <w:p w14:paraId="5FEBE04B" w14:textId="77777777" w:rsidR="002B5B0A" w:rsidRDefault="00EC541B">
      <w:r w:rsidRPr="00A065B9">
        <w:t>Alexander Hennig</w:t>
      </w:r>
    </w:p>
    <w:p w14:paraId="2E60378D" w14:textId="77777777" w:rsidR="00A96745" w:rsidRDefault="00000000">
      <w:hyperlink r:id="rId13" w:history="1">
        <w:r w:rsidR="00EC541B" w:rsidRPr="00A065B9">
          <w:rPr>
            <w:rStyle w:val="Hipercze"/>
          </w:rPr>
          <w:t>alexander.hennig@bayer.com</w:t>
        </w:r>
      </w:hyperlink>
    </w:p>
    <w:p w14:paraId="77087F79" w14:textId="6EDCF998" w:rsidR="002B5B0A" w:rsidRDefault="00EC541B" w:rsidP="00A96745">
      <w:pPr>
        <w:pStyle w:val="Normal"/>
      </w:pPr>
      <w:r>
        <w:rPr>
          <w:lang w:val="pl"/>
        </w:rPr>
        <w:t>+49 175 3089736</w:t>
      </w:r>
    </w:p>
    <w:p w14:paraId="1C0F4A2F" w14:textId="77777777" w:rsidR="002B5B0A" w:rsidRPr="00A96745" w:rsidRDefault="00EC541B">
      <w:pPr>
        <w:rPr>
          <w:sz w:val="16"/>
          <w:szCs w:val="16"/>
        </w:rPr>
      </w:pPr>
      <w:r>
        <w:rPr>
          <w:i/>
          <w:iCs/>
          <w:sz w:val="16"/>
          <w:szCs w:val="16"/>
          <w:lang w:val="pl"/>
        </w:rPr>
        <w:t>Źródło: Komunikat firmowy</w:t>
      </w:r>
    </w:p>
    <w:p w14:paraId="119D9F0E" w14:textId="77777777" w:rsidR="002B5B0A" w:rsidRPr="00A96745" w:rsidRDefault="00EC541B">
      <w:pPr>
        <w:rPr>
          <w:sz w:val="16"/>
          <w:szCs w:val="16"/>
        </w:rPr>
      </w:pPr>
      <w:r>
        <w:rPr>
          <w:i/>
          <w:iCs/>
          <w:sz w:val="16"/>
          <w:szCs w:val="16"/>
          <w:lang w:val="pl"/>
        </w:rPr>
        <w:t>Źródło: ADM</w:t>
      </w:r>
    </w:p>
    <w:sectPr w:rsidR="002B5B0A" w:rsidRPr="00A96745" w:rsidSect="00A96745">
      <w:footerReference w:type="even" r:id="rId14"/>
      <w:footerReference w:type="default" r:id="rId15"/>
      <w:footerReference w:type="first" r:id="rId16"/>
      <w:type w:val="continuous"/>
      <w:pgSz w:w="11909" w:h="16834"/>
      <w:pgMar w:top="1417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CF62B" w14:textId="77777777" w:rsidR="00BC271F" w:rsidRDefault="00BC271F">
      <w:r>
        <w:separator/>
      </w:r>
    </w:p>
  </w:endnote>
  <w:endnote w:type="continuationSeparator" w:id="0">
    <w:p w14:paraId="1BE846E8" w14:textId="77777777" w:rsidR="00BC271F" w:rsidRDefault="00BC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26B" w14:textId="78EEF434" w:rsidR="00A96745" w:rsidRDefault="00A065B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1B76D1" wp14:editId="2B7B92FB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24669381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A56D0" w14:textId="463148F2" w:rsidR="00A065B9" w:rsidRPr="00A065B9" w:rsidRDefault="00A065B9" w:rsidP="00A06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  <w:r w:rsidRPr="00A065B9"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B7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08A56D0" w14:textId="463148F2" w:rsidR="00A065B9" w:rsidRPr="00A065B9" w:rsidRDefault="00A065B9" w:rsidP="00A065B9">
                    <w:pPr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  <w:r w:rsidRPr="00A065B9"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A799" w14:textId="746B5B89" w:rsidR="00A96745" w:rsidRDefault="00A96745" w:rsidP="00A96745">
    <w:pPr>
      <w:pStyle w:val="Stopka"/>
      <w:jc w:val="right"/>
    </w:pPr>
    <w:r>
      <w:rPr>
        <w:lang w:val="pl"/>
      </w:rPr>
      <w:fldChar w:fldCharType="begin"/>
    </w:r>
    <w:r>
      <w:rPr>
        <w:lang w:val="pl"/>
      </w:rPr>
      <w:instrText>PAGE   \* MERGEFORMAT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EEB2C" w14:textId="7D95D6CF" w:rsidR="00A96745" w:rsidRDefault="00A065B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5EBB15" wp14:editId="7189D366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07972040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09DFA" w14:textId="5D394EB8" w:rsidR="00A065B9" w:rsidRPr="00A065B9" w:rsidRDefault="00A065B9" w:rsidP="00A06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  <w:r w:rsidRPr="00A065B9"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EBB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ESTRICTED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2C809DFA" w14:textId="5D394EB8" w:rsidR="00A065B9" w:rsidRPr="00A065B9" w:rsidRDefault="00A065B9" w:rsidP="00A065B9">
                    <w:pPr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  <w:r w:rsidRPr="00A065B9"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47F6D" w14:textId="77777777" w:rsidR="00BC271F" w:rsidRDefault="00BC271F"/>
  </w:footnote>
  <w:footnote w:type="continuationSeparator" w:id="0">
    <w:p w14:paraId="130AFDE1" w14:textId="77777777" w:rsidR="00BC271F" w:rsidRDefault="00BC27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255F8"/>
    <w:multiLevelType w:val="hybridMultilevel"/>
    <w:tmpl w:val="9F8E70F8"/>
    <w:lvl w:ilvl="0" w:tplc="2AA2FBBA">
      <w:numFmt w:val="bullet"/>
      <w:lvlText w:val="•"/>
      <w:lvlJc w:val="left"/>
      <w:pPr>
        <w:ind w:left="1085" w:hanging="675"/>
      </w:pPr>
      <w:rPr>
        <w:rFonts w:ascii="Calibri" w:eastAsia="Arial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FB44AC5"/>
    <w:multiLevelType w:val="hybridMultilevel"/>
    <w:tmpl w:val="44D4F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02AE"/>
    <w:multiLevelType w:val="hybridMultilevel"/>
    <w:tmpl w:val="26EA32B0"/>
    <w:lvl w:ilvl="0" w:tplc="5BF8AC28">
      <w:numFmt w:val="bullet"/>
      <w:lvlText w:val="•"/>
      <w:lvlJc w:val="left"/>
      <w:pPr>
        <w:ind w:left="675" w:hanging="630"/>
      </w:pPr>
      <w:rPr>
        <w:rFonts w:ascii="Calibri" w:eastAsia="Arial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03A399C"/>
    <w:multiLevelType w:val="hybridMultilevel"/>
    <w:tmpl w:val="A72016A2"/>
    <w:lvl w:ilvl="0" w:tplc="2AA2FBBA">
      <w:numFmt w:val="bullet"/>
      <w:lvlText w:val="•"/>
      <w:lvlJc w:val="left"/>
      <w:pPr>
        <w:ind w:left="1035" w:hanging="675"/>
      </w:pPr>
      <w:rPr>
        <w:rFonts w:ascii="Calibri" w:eastAsia="Arial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444788">
    <w:abstractNumId w:val="1"/>
  </w:num>
  <w:num w:numId="2" w16cid:durableId="1438215989">
    <w:abstractNumId w:val="3"/>
  </w:num>
  <w:num w:numId="3" w16cid:durableId="566034932">
    <w:abstractNumId w:val="0"/>
  </w:num>
  <w:num w:numId="4" w16cid:durableId="211262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0A"/>
    <w:rsid w:val="00033DF5"/>
    <w:rsid w:val="00064EF9"/>
    <w:rsid w:val="00102367"/>
    <w:rsid w:val="00161703"/>
    <w:rsid w:val="0018705C"/>
    <w:rsid w:val="002B5B0A"/>
    <w:rsid w:val="002F74B5"/>
    <w:rsid w:val="00305C2F"/>
    <w:rsid w:val="00323029"/>
    <w:rsid w:val="003C0405"/>
    <w:rsid w:val="004165CF"/>
    <w:rsid w:val="004245F0"/>
    <w:rsid w:val="004F547D"/>
    <w:rsid w:val="00552BCB"/>
    <w:rsid w:val="005550F4"/>
    <w:rsid w:val="00592C7A"/>
    <w:rsid w:val="00604B9A"/>
    <w:rsid w:val="00687404"/>
    <w:rsid w:val="006A092D"/>
    <w:rsid w:val="00730FBC"/>
    <w:rsid w:val="007B7D0D"/>
    <w:rsid w:val="00813E95"/>
    <w:rsid w:val="008C5A33"/>
    <w:rsid w:val="009878E9"/>
    <w:rsid w:val="00A065B9"/>
    <w:rsid w:val="00A2130A"/>
    <w:rsid w:val="00A37388"/>
    <w:rsid w:val="00A71297"/>
    <w:rsid w:val="00A96745"/>
    <w:rsid w:val="00AC2CC2"/>
    <w:rsid w:val="00BA08F7"/>
    <w:rsid w:val="00BC271F"/>
    <w:rsid w:val="00CC13A0"/>
    <w:rsid w:val="00DA2333"/>
    <w:rsid w:val="00E72E34"/>
    <w:rsid w:val="00EC541B"/>
    <w:rsid w:val="00F049C2"/>
    <w:rsid w:val="00F31B22"/>
    <w:rsid w:val="00F54B30"/>
    <w:rsid w:val="00F757F4"/>
    <w:rsid w:val="00FA1B68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F459D"/>
  <w15:docId w15:val="{14125F69-3FF2-48B6-9C68-6BF0FC3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45"/>
    <w:pPr>
      <w:widowControl/>
    </w:pPr>
    <w:rPr>
      <w:rFonts w:asciiTheme="minorHAnsi" w:hAnsiTheme="minorHAnsi"/>
      <w:color w:val="000000"/>
      <w:sz w:val="22"/>
    </w:rPr>
  </w:style>
  <w:style w:type="paragraph" w:styleId="Nagwek1">
    <w:name w:val="heading 1"/>
    <w:basedOn w:val="Normal"/>
    <w:next w:val="Normalny"/>
    <w:link w:val="Nagwek1Znak"/>
    <w:uiPriority w:val="9"/>
    <w:qFormat/>
    <w:rsid w:val="00A96745"/>
    <w:pPr>
      <w:keepNext/>
      <w:spacing w:before="240" w:after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customStyle="1" w:styleId="Normal">
    <w:name w:val="Normal &lt;"/>
    <w:basedOn w:val="Normalny"/>
    <w:qFormat/>
    <w:rsid w:val="00A96745"/>
    <w:pPr>
      <w:spacing w:after="240"/>
    </w:pPr>
  </w:style>
  <w:style w:type="paragraph" w:styleId="Akapitzlist">
    <w:name w:val="List Paragraph"/>
    <w:basedOn w:val="Normalny"/>
    <w:uiPriority w:val="34"/>
    <w:qFormat/>
    <w:rsid w:val="00A96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745"/>
    <w:rPr>
      <w:rFonts w:asciiTheme="minorHAnsi" w:hAnsiTheme="minorHAns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A96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745"/>
    <w:rPr>
      <w:rFonts w:asciiTheme="minorHAnsi" w:hAnsiTheme="minorHAnsi"/>
      <w:color w:val="000000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6745"/>
    <w:rPr>
      <w:rFonts w:asciiTheme="minorHAnsi" w:hAnsiTheme="minorHAnsi"/>
      <w:b/>
      <w:bCs/>
      <w:color w:val="000000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7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65B9"/>
    <w:pPr>
      <w:widowControl/>
    </w:pPr>
    <w:rPr>
      <w:rFonts w:asciiTheme="minorHAnsi" w:hAnsiTheme="minorHAns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.com/en-us/news/news-releases/2023/11/new-adm-report-highlights-power-urgency-of-regenerative-agriculture-for-consumers-and-cpgs/" TargetMode="External"/><Relationship Id="rId13" Type="http://schemas.openxmlformats.org/officeDocument/2006/relationships/hyperlink" Target="mailto:alexander.hennig@bay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dia@ad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m.com/en-us/news/news-releases/2024/4/adm-exceeds-2-million-regenerative-agriculture-acre-goal-for-2023-increases-2025-goal-to-5-million-acr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a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.com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Jackie</dc:creator>
  <cp:keywords/>
  <cp:lastModifiedBy>Aleksandra Stasiak</cp:lastModifiedBy>
  <cp:revision>2</cp:revision>
  <dcterms:created xsi:type="dcterms:W3CDTF">2024-06-18T08:31:00Z</dcterms:created>
  <dcterms:modified xsi:type="dcterms:W3CDTF">2024-06-18T08:31:00Z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185128c8,48fef8c5,2cf34b60</vt:lpwstr>
  </property>
  <property fmtid="{D5CDD505-2E9C-101B-9397-08002B2CF9AE}" pid="3" name="ClassificationContentMarkingFooterFontProps">
    <vt:lpwstr>#ff8939,22,Calibri</vt:lpwstr>
  </property>
  <property fmtid="{D5CDD505-2E9C-101B-9397-08002B2CF9AE}" pid="4" name="ClassificationContentMarkingFooterText">
    <vt:lpwstr>RESTRICTED</vt:lpwstr>
  </property>
  <property fmtid="{D5CDD505-2E9C-101B-9397-08002B2CF9AE}" pid="5" name="MSIP_Label_2c76c141-ac86-40e5-abf2-c6f60e474cee_Enabled">
    <vt:lpwstr>true</vt:lpwstr>
  </property>
  <property fmtid="{D5CDD505-2E9C-101B-9397-08002B2CF9AE}" pid="6" name="MSIP_Label_2c76c141-ac86-40e5-abf2-c6f60e474cee_SetDate">
    <vt:lpwstr>2024-06-13T14:23:45Z</vt:lpwstr>
  </property>
  <property fmtid="{D5CDD505-2E9C-101B-9397-08002B2CF9AE}" pid="7" name="MSIP_Label_2c76c141-ac86-40e5-abf2-c6f60e474cee_Method">
    <vt:lpwstr>Standard</vt:lpwstr>
  </property>
  <property fmtid="{D5CDD505-2E9C-101B-9397-08002B2CF9AE}" pid="8" name="MSIP_Label_2c76c141-ac86-40e5-abf2-c6f60e474cee_Name">
    <vt:lpwstr>2c76c141-ac86-40e5-abf2-c6f60e474cee</vt:lpwstr>
  </property>
  <property fmtid="{D5CDD505-2E9C-101B-9397-08002B2CF9AE}" pid="9" name="MSIP_Label_2c76c141-ac86-40e5-abf2-c6f60e474cee_SiteId">
    <vt:lpwstr>fcb2b37b-5da0-466b-9b83-0014b67a7c78</vt:lpwstr>
  </property>
  <property fmtid="{D5CDD505-2E9C-101B-9397-08002B2CF9AE}" pid="10" name="MSIP_Label_2c76c141-ac86-40e5-abf2-c6f60e474cee_ActionId">
    <vt:lpwstr>4ac56fc1-ddc2-4095-a504-0c353bd08efe</vt:lpwstr>
  </property>
  <property fmtid="{D5CDD505-2E9C-101B-9397-08002B2CF9AE}" pid="11" name="MSIP_Label_2c76c141-ac86-40e5-abf2-c6f60e474cee_ContentBits">
    <vt:lpwstr>2</vt:lpwstr>
  </property>
</Properties>
</file>